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BF" w:rsidRDefault="001557BF" w:rsidP="001557BF">
      <w:pPr>
        <w:widowControl/>
        <w:spacing w:before="260" w:after="260"/>
        <w:jc w:val="center"/>
        <w:outlineLvl w:val="1"/>
        <w:rPr>
          <w:rFonts w:ascii="宋体" w:eastAsia="宋体" w:hAnsi="宋体" w:cs="宋体" w:hint="eastAsia"/>
          <w:b/>
          <w:bCs/>
          <w:color w:val="262626"/>
          <w:kern w:val="0"/>
          <w:sz w:val="18"/>
          <w:szCs w:val="18"/>
        </w:rPr>
      </w:pPr>
      <w:bookmarkStart w:id="0" w:name="_Toc3431"/>
      <w:r>
        <w:rPr>
          <w:rFonts w:hint="eastAsia"/>
          <w:color w:val="FF0000"/>
          <w:sz w:val="20"/>
          <w:szCs w:val="20"/>
        </w:rPr>
        <w:t>kinco</w:t>
      </w:r>
      <w:r>
        <w:rPr>
          <w:rFonts w:hint="eastAsia"/>
          <w:color w:val="FF0000"/>
          <w:sz w:val="20"/>
          <w:szCs w:val="20"/>
        </w:rPr>
        <w:t>基于</w:t>
      </w:r>
      <w:r>
        <w:rPr>
          <w:rFonts w:hint="eastAsia"/>
          <w:color w:val="FF0000"/>
          <w:sz w:val="20"/>
          <w:szCs w:val="20"/>
        </w:rPr>
        <w:t>CANopen</w:t>
      </w:r>
      <w:r>
        <w:rPr>
          <w:rFonts w:hint="eastAsia"/>
          <w:color w:val="FF0000"/>
          <w:sz w:val="20"/>
          <w:szCs w:val="20"/>
        </w:rPr>
        <w:t>总线的瓦楞纸码垛机解决方案</w:t>
      </w:r>
    </w:p>
    <w:p w:rsidR="001557BF" w:rsidRPr="001557BF" w:rsidRDefault="001557BF" w:rsidP="001557BF">
      <w:pPr>
        <w:widowControl/>
        <w:spacing w:before="260" w:after="260"/>
        <w:jc w:val="left"/>
        <w:outlineLvl w:val="1"/>
        <w:rPr>
          <w:rFonts w:ascii="宋体" w:eastAsia="宋体" w:hAnsi="宋体" w:cs="宋体"/>
          <w:b/>
          <w:bCs/>
          <w:color w:val="333333"/>
          <w:kern w:val="0"/>
          <w:sz w:val="36"/>
          <w:szCs w:val="36"/>
        </w:rPr>
      </w:pPr>
      <w:r w:rsidRPr="001557BF">
        <w:rPr>
          <w:rFonts w:ascii="宋体" w:eastAsia="宋体" w:hAnsi="宋体" w:cs="宋体" w:hint="eastAsia"/>
          <w:b/>
          <w:bCs/>
          <w:color w:val="262626"/>
          <w:kern w:val="0"/>
          <w:sz w:val="18"/>
          <w:szCs w:val="18"/>
        </w:rPr>
        <w:t>一：瓦楞纸码垛机主要工艺</w:t>
      </w:r>
      <w:bookmarkEnd w:id="0"/>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    瓦楞纸码垛机，顾名思义就是把瓦楞纸板按设定的张数等均匀整齐堆码成垛，在瓦楞纸生产线中，纸板经过涂胶，粘合，纵切，横切后成为标准纸板，此时为了方便后道工序加工，纸板必须均匀码垛起来，所以码垛机型是瓦楞纸生产线中不可或缺的设备。</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    根据码垛产品不同，要进入的后道工序不同等，码垛机有很多种形式，比如龙门型，吊篮型，但主要核心工艺如下：</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1、订单管理功能：订单的编辑保存、显示、自动更新待加工订单并对用户编辑的订单保存时判断是否为合法订单，不合法不予保存并给出错误提示；</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2、智能多段控制进纸压力，使高速横切后的纸板能够平稳进入堆码机；</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3、多段独立传送，交流变频器和交流变频电机精确配合，构成整个设备的传输机构，每一段速度可以独立调节，并可分别自动跟踪生产线速度，按照设定比例稳定运行，使纸板平稳整齐传送；</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4、龙门堆码，交流伺服控制器配合交流伺服电机控制龙门升降，精确平稳，从而保证堆纸效果；</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5、不停机换单换垛，可以与生管系统联网，提高生产效率。</w:t>
      </w:r>
    </w:p>
    <w:p w:rsidR="001557BF" w:rsidRPr="001557BF" w:rsidRDefault="001557BF" w:rsidP="001557BF">
      <w:pPr>
        <w:widowControl/>
        <w:spacing w:before="260" w:after="260"/>
        <w:jc w:val="left"/>
        <w:outlineLvl w:val="1"/>
        <w:rPr>
          <w:rFonts w:ascii="宋体" w:eastAsia="宋体" w:hAnsi="宋体" w:cs="宋体" w:hint="eastAsia"/>
          <w:b/>
          <w:bCs/>
          <w:color w:val="333333"/>
          <w:kern w:val="0"/>
          <w:sz w:val="36"/>
          <w:szCs w:val="36"/>
        </w:rPr>
      </w:pPr>
      <w:bookmarkStart w:id="1" w:name="_Toc28392"/>
      <w:r w:rsidRPr="001557BF">
        <w:rPr>
          <w:rFonts w:ascii="宋体" w:eastAsia="宋体" w:hAnsi="宋体" w:cs="宋体" w:hint="eastAsia"/>
          <w:b/>
          <w:bCs/>
          <w:color w:val="262626"/>
          <w:kern w:val="0"/>
          <w:sz w:val="18"/>
          <w:szCs w:val="18"/>
        </w:rPr>
        <w:t>二：瓦楞纸码垛机主要验收指标</w:t>
      </w:r>
      <w:bookmarkEnd w:id="1"/>
    </w:p>
    <w:p w:rsidR="001557BF" w:rsidRPr="001557BF" w:rsidRDefault="001557BF" w:rsidP="001557BF">
      <w:pPr>
        <w:widowControl/>
        <w:spacing w:line="300" w:lineRule="atLeast"/>
        <w:jc w:val="left"/>
        <w:rPr>
          <w:rFonts w:ascii="宋体" w:eastAsia="宋体" w:hAnsi="宋体" w:cs="宋体" w:hint="eastAsia"/>
          <w:color w:val="333333"/>
          <w:kern w:val="0"/>
          <w:sz w:val="24"/>
          <w:szCs w:val="24"/>
        </w:rPr>
      </w:pPr>
      <w:r w:rsidRPr="001557BF">
        <w:rPr>
          <w:rFonts w:ascii="宋体" w:eastAsia="宋体" w:hAnsi="宋体" w:cs="宋体" w:hint="eastAsia"/>
          <w:color w:val="262626"/>
          <w:kern w:val="0"/>
          <w:sz w:val="18"/>
          <w:szCs w:val="18"/>
        </w:rPr>
        <w:t>1、输送平稳，换单准确。</w:t>
      </w:r>
    </w:p>
    <w:p w:rsidR="001557BF" w:rsidRPr="001557BF" w:rsidRDefault="001557BF" w:rsidP="001557BF">
      <w:pPr>
        <w:widowControl/>
        <w:spacing w:line="300" w:lineRule="atLeast"/>
        <w:jc w:val="left"/>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2、堆码平整，换垛顺畅。</w:t>
      </w:r>
    </w:p>
    <w:p w:rsidR="001557BF" w:rsidRPr="001557BF" w:rsidRDefault="001557BF" w:rsidP="001557BF">
      <w:pPr>
        <w:widowControl/>
        <w:spacing w:line="300" w:lineRule="atLeast"/>
        <w:jc w:val="left"/>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3、操作简单，维护方便。</w:t>
      </w:r>
    </w:p>
    <w:p w:rsidR="001557BF" w:rsidRPr="001557BF" w:rsidRDefault="001557BF" w:rsidP="001557BF">
      <w:pPr>
        <w:widowControl/>
        <w:spacing w:before="260" w:after="260"/>
        <w:jc w:val="left"/>
        <w:outlineLvl w:val="1"/>
        <w:rPr>
          <w:rFonts w:ascii="宋体" w:eastAsia="宋体" w:hAnsi="宋体" w:cs="宋体"/>
          <w:b/>
          <w:bCs/>
          <w:color w:val="333333"/>
          <w:kern w:val="0"/>
          <w:sz w:val="36"/>
          <w:szCs w:val="36"/>
        </w:rPr>
      </w:pPr>
      <w:bookmarkStart w:id="2" w:name="_Toc27252"/>
      <w:r w:rsidRPr="001557BF">
        <w:rPr>
          <w:rFonts w:ascii="宋体" w:eastAsia="宋体" w:hAnsi="宋体" w:cs="宋体" w:hint="eastAsia"/>
          <w:b/>
          <w:bCs/>
          <w:color w:val="262626"/>
          <w:kern w:val="0"/>
          <w:sz w:val="18"/>
          <w:szCs w:val="18"/>
        </w:rPr>
        <w:t>三：瓦楞纸码垛机主要工艺流程</w:t>
      </w:r>
      <w:bookmarkEnd w:id="2"/>
    </w:p>
    <w:p w:rsidR="001557BF" w:rsidRPr="001557BF" w:rsidRDefault="001557BF" w:rsidP="001557BF">
      <w:pPr>
        <w:widowControl/>
        <w:spacing w:line="300" w:lineRule="atLeast"/>
        <w:jc w:val="left"/>
        <w:rPr>
          <w:rFonts w:ascii="宋体" w:eastAsia="宋体" w:hAnsi="宋体" w:cs="宋体" w:hint="eastAsia"/>
          <w:color w:val="333333"/>
          <w:kern w:val="0"/>
          <w:sz w:val="24"/>
          <w:szCs w:val="24"/>
        </w:rPr>
      </w:pPr>
      <w:r>
        <w:rPr>
          <w:rFonts w:ascii="宋体" w:eastAsia="宋体" w:hAnsi="宋体" w:cs="宋体"/>
          <w:noProof/>
          <w:color w:val="262626"/>
          <w:kern w:val="0"/>
          <w:sz w:val="24"/>
          <w:szCs w:val="24"/>
        </w:rPr>
        <w:lastRenderedPageBreak/>
        <w:drawing>
          <wp:inline distT="0" distB="0" distL="0" distR="0">
            <wp:extent cx="5305425" cy="10201275"/>
            <wp:effectExtent l="19050" t="0" r="9525" b="0"/>
            <wp:docPr id="1" name="图片 1" descr="http://www.kinco.cn/UploadFiles/2013/07/H24105120BE478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nco.cn/UploadFiles/2013/07/H24105120BE478574.jpg"/>
                    <pic:cNvPicPr>
                      <a:picLocks noChangeAspect="1" noChangeArrowheads="1"/>
                    </pic:cNvPicPr>
                  </pic:nvPicPr>
                  <pic:blipFill>
                    <a:blip r:embed="rId6"/>
                    <a:srcRect/>
                    <a:stretch>
                      <a:fillRect/>
                    </a:stretch>
                  </pic:blipFill>
                  <pic:spPr bwMode="auto">
                    <a:xfrm>
                      <a:off x="0" y="0"/>
                      <a:ext cx="5305425" cy="10201275"/>
                    </a:xfrm>
                    <a:prstGeom prst="rect">
                      <a:avLst/>
                    </a:prstGeom>
                    <a:noFill/>
                    <a:ln w="9525">
                      <a:noFill/>
                      <a:miter lim="800000"/>
                      <a:headEnd/>
                      <a:tailEnd/>
                    </a:ln>
                  </pic:spPr>
                </pic:pic>
              </a:graphicData>
            </a:graphic>
          </wp:inline>
        </w:drawing>
      </w:r>
      <w:r w:rsidRPr="001557BF">
        <w:rPr>
          <w:rFonts w:ascii="宋体" w:eastAsia="宋体" w:hAnsi="宋体" w:cs="宋体" w:hint="eastAsia"/>
          <w:color w:val="262626"/>
          <w:kern w:val="0"/>
          <w:sz w:val="24"/>
          <w:szCs w:val="24"/>
        </w:rPr>
        <w:lastRenderedPageBreak/>
        <w:br/>
      </w:r>
      <w:r w:rsidRPr="001557BF">
        <w:rPr>
          <w:rFonts w:ascii="宋体" w:eastAsia="宋体" w:hAnsi="宋体" w:cs="宋体" w:hint="eastAsia"/>
          <w:color w:val="262626"/>
          <w:kern w:val="0"/>
          <w:sz w:val="24"/>
          <w:szCs w:val="24"/>
        </w:rPr>
        <w:br/>
      </w:r>
    </w:p>
    <w:p w:rsidR="001557BF" w:rsidRPr="001557BF" w:rsidRDefault="001557BF" w:rsidP="001557BF">
      <w:pPr>
        <w:widowControl/>
        <w:spacing w:line="300" w:lineRule="atLeast"/>
        <w:jc w:val="left"/>
        <w:rPr>
          <w:rFonts w:ascii="宋体" w:eastAsia="宋体" w:hAnsi="宋体" w:cs="宋体"/>
          <w:color w:val="333333"/>
          <w:kern w:val="0"/>
          <w:sz w:val="18"/>
          <w:szCs w:val="18"/>
        </w:rPr>
      </w:pPr>
      <w:r w:rsidRPr="001557BF">
        <w:rPr>
          <w:rFonts w:ascii="宋体" w:eastAsia="宋体" w:hAnsi="宋体" w:cs="宋体" w:hint="eastAsia"/>
          <w:color w:val="262626"/>
          <w:kern w:val="0"/>
          <w:sz w:val="24"/>
          <w:szCs w:val="24"/>
        </w:rPr>
        <w:t> </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24"/>
          <w:szCs w:val="24"/>
        </w:rPr>
        <w:t> </w:t>
      </w:r>
    </w:p>
    <w:p w:rsidR="001557BF" w:rsidRPr="001557BF" w:rsidRDefault="001557BF" w:rsidP="001557BF">
      <w:pPr>
        <w:widowControl/>
        <w:spacing w:before="260" w:after="260"/>
        <w:jc w:val="left"/>
        <w:outlineLvl w:val="1"/>
        <w:rPr>
          <w:rFonts w:ascii="宋体" w:eastAsia="宋体" w:hAnsi="宋体" w:cs="宋体" w:hint="eastAsia"/>
          <w:b/>
          <w:bCs/>
          <w:color w:val="333333"/>
          <w:kern w:val="0"/>
          <w:sz w:val="36"/>
          <w:szCs w:val="36"/>
        </w:rPr>
      </w:pPr>
      <w:bookmarkStart w:id="3" w:name="_Toc3028"/>
      <w:r w:rsidRPr="001557BF">
        <w:rPr>
          <w:rFonts w:ascii="宋体" w:eastAsia="宋体" w:hAnsi="宋体" w:cs="宋体" w:hint="eastAsia"/>
          <w:b/>
          <w:bCs/>
          <w:color w:val="262626"/>
          <w:kern w:val="0"/>
          <w:szCs w:val="21"/>
        </w:rPr>
        <w:t>四：Kinco</w:t>
      </w:r>
      <w:r w:rsidRPr="001557BF">
        <w:rPr>
          <w:rFonts w:ascii="宋体" w:eastAsia="宋体" w:hAnsi="宋体" w:cs="宋体" w:hint="eastAsia"/>
          <w:b/>
          <w:bCs/>
          <w:color w:val="262626"/>
          <w:kern w:val="0"/>
        </w:rPr>
        <w:t> </w:t>
      </w:r>
      <w:r w:rsidRPr="001557BF">
        <w:rPr>
          <w:rFonts w:ascii="宋体" w:eastAsia="宋体" w:hAnsi="宋体" w:cs="宋体" w:hint="eastAsia"/>
          <w:b/>
          <w:bCs/>
          <w:color w:val="262626"/>
          <w:kern w:val="0"/>
          <w:szCs w:val="21"/>
        </w:rPr>
        <w:t>全套CANopen解决方案框图</w:t>
      </w:r>
      <w:bookmarkEnd w:id="3"/>
    </w:p>
    <w:p w:rsidR="001557BF" w:rsidRPr="001557BF" w:rsidRDefault="001557BF" w:rsidP="001557BF">
      <w:pPr>
        <w:widowControl/>
        <w:spacing w:line="27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20"/>
          <w:szCs w:val="20"/>
        </w:rPr>
        <w:t>方案备注：由于客户需求不同，本方案仅以龙门型码垛机为例</w:t>
      </w:r>
    </w:p>
    <w:p w:rsidR="001557BF" w:rsidRPr="001557BF" w:rsidRDefault="001557BF" w:rsidP="001557BF">
      <w:pPr>
        <w:widowControl/>
        <w:spacing w:before="260" w:after="260"/>
        <w:jc w:val="left"/>
        <w:outlineLvl w:val="1"/>
        <w:rPr>
          <w:rFonts w:ascii="宋体" w:eastAsia="宋体" w:hAnsi="宋体" w:cs="宋体" w:hint="eastAsia"/>
          <w:b/>
          <w:bCs/>
          <w:color w:val="333333"/>
          <w:kern w:val="0"/>
          <w:sz w:val="36"/>
          <w:szCs w:val="36"/>
        </w:rPr>
      </w:pPr>
      <w:r>
        <w:rPr>
          <w:rFonts w:ascii="宋体" w:eastAsia="宋体" w:hAnsi="宋体" w:cs="宋体"/>
          <w:b/>
          <w:bCs/>
          <w:noProof/>
          <w:color w:val="262626"/>
          <w:kern w:val="0"/>
          <w:szCs w:val="21"/>
        </w:rPr>
        <w:drawing>
          <wp:inline distT="0" distB="0" distL="0" distR="0">
            <wp:extent cx="6191250" cy="5695950"/>
            <wp:effectExtent l="19050" t="0" r="0" b="0"/>
            <wp:docPr id="2" name="图片 2" descr="http://www.kinco.cn/UploadFiles/2013/07/W24105142E9ACCB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nco.cn/UploadFiles/2013/07/W24105142E9ACCBB6.jpg"/>
                    <pic:cNvPicPr>
                      <a:picLocks noChangeAspect="1" noChangeArrowheads="1"/>
                    </pic:cNvPicPr>
                  </pic:nvPicPr>
                  <pic:blipFill>
                    <a:blip r:embed="rId7"/>
                    <a:srcRect/>
                    <a:stretch>
                      <a:fillRect/>
                    </a:stretch>
                  </pic:blipFill>
                  <pic:spPr bwMode="auto">
                    <a:xfrm>
                      <a:off x="0" y="0"/>
                      <a:ext cx="6191250" cy="5695950"/>
                    </a:xfrm>
                    <a:prstGeom prst="rect">
                      <a:avLst/>
                    </a:prstGeom>
                    <a:noFill/>
                    <a:ln w="9525">
                      <a:noFill/>
                      <a:miter lim="800000"/>
                      <a:headEnd/>
                      <a:tailEnd/>
                    </a:ln>
                  </pic:spPr>
                </pic:pic>
              </a:graphicData>
            </a:graphic>
          </wp:inline>
        </w:drawing>
      </w:r>
      <w:r w:rsidRPr="001557BF">
        <w:rPr>
          <w:rFonts w:ascii="宋体" w:eastAsia="宋体" w:hAnsi="宋体" w:cs="宋体" w:hint="eastAsia"/>
          <w:b/>
          <w:bCs/>
          <w:color w:val="262626"/>
          <w:kern w:val="0"/>
          <w:szCs w:val="21"/>
        </w:rPr>
        <w:t>五：Kinco</w:t>
      </w:r>
      <w:r w:rsidRPr="001557BF">
        <w:rPr>
          <w:rFonts w:ascii="宋体" w:eastAsia="宋体" w:hAnsi="宋体" w:cs="宋体" w:hint="eastAsia"/>
          <w:b/>
          <w:bCs/>
          <w:color w:val="262626"/>
          <w:kern w:val="0"/>
        </w:rPr>
        <w:t> </w:t>
      </w:r>
      <w:r w:rsidRPr="001557BF">
        <w:rPr>
          <w:rFonts w:ascii="宋体" w:eastAsia="宋体" w:hAnsi="宋体" w:cs="宋体" w:hint="eastAsia"/>
          <w:b/>
          <w:bCs/>
          <w:color w:val="262626"/>
          <w:kern w:val="0"/>
          <w:szCs w:val="21"/>
        </w:rPr>
        <w:t>全套CANopen解决方案特点</w:t>
      </w:r>
    </w:p>
    <w:p w:rsidR="001557BF" w:rsidRPr="001557BF" w:rsidRDefault="001557BF" w:rsidP="001557BF">
      <w:pPr>
        <w:widowControl/>
        <w:spacing w:line="300" w:lineRule="atLeast"/>
        <w:ind w:left="420" w:hanging="420"/>
        <w:jc w:val="left"/>
        <w:rPr>
          <w:rFonts w:ascii="宋体" w:eastAsia="宋体" w:hAnsi="宋体" w:cs="宋体" w:hint="eastAsia"/>
          <w:color w:val="333333"/>
          <w:kern w:val="0"/>
          <w:sz w:val="18"/>
          <w:szCs w:val="18"/>
        </w:rPr>
      </w:pPr>
      <w:r w:rsidRPr="001557BF">
        <w:rPr>
          <w:rFonts w:ascii="Wingdings" w:eastAsia="宋体" w:hAnsi="Wingdings" w:cs="宋体"/>
          <w:color w:val="262626"/>
          <w:kern w:val="0"/>
          <w:sz w:val="18"/>
          <w:szCs w:val="18"/>
        </w:rPr>
        <w:t></w:t>
      </w:r>
      <w:r w:rsidRPr="001557BF">
        <w:rPr>
          <w:rFonts w:ascii="Times New Roman" w:eastAsia="宋体" w:hAnsi="Times New Roman" w:cs="Times New Roman"/>
          <w:color w:val="262626"/>
          <w:kern w:val="0"/>
          <w:sz w:val="14"/>
          <w:szCs w:val="14"/>
        </w:rPr>
        <w:t> </w:t>
      </w:r>
      <w:r w:rsidRPr="001557BF">
        <w:rPr>
          <w:rFonts w:ascii="Times New Roman" w:eastAsia="宋体" w:hAnsi="Times New Roman" w:cs="Times New Roman"/>
          <w:color w:val="262626"/>
          <w:kern w:val="0"/>
          <w:sz w:val="14"/>
        </w:rPr>
        <w:t> </w:t>
      </w:r>
      <w:r w:rsidRPr="001557BF">
        <w:rPr>
          <w:rFonts w:ascii="宋体" w:eastAsia="宋体" w:hAnsi="宋体" w:cs="宋体" w:hint="eastAsia"/>
          <w:color w:val="262626"/>
          <w:kern w:val="0"/>
          <w:sz w:val="18"/>
          <w:szCs w:val="18"/>
        </w:rPr>
        <w:t>系统全套CANopen总线控制，解决了采用脉冲控制方式带来的接线众多，丢脉冲导致定位精度不准，抗干扰能力差等缺点，同时还具备极高性价比；</w:t>
      </w:r>
    </w:p>
    <w:p w:rsidR="001557BF" w:rsidRPr="001557BF" w:rsidRDefault="001557BF" w:rsidP="001557BF">
      <w:pPr>
        <w:widowControl/>
        <w:spacing w:line="300" w:lineRule="atLeast"/>
        <w:ind w:left="420" w:hanging="420"/>
        <w:jc w:val="left"/>
        <w:rPr>
          <w:rFonts w:ascii="宋体" w:eastAsia="宋体" w:hAnsi="宋体" w:cs="宋体" w:hint="eastAsia"/>
          <w:color w:val="333333"/>
          <w:kern w:val="0"/>
          <w:sz w:val="18"/>
          <w:szCs w:val="18"/>
        </w:rPr>
      </w:pPr>
      <w:r w:rsidRPr="001557BF">
        <w:rPr>
          <w:rFonts w:ascii="Wingdings" w:eastAsia="宋体" w:hAnsi="Wingdings" w:cs="宋体"/>
          <w:color w:val="262626"/>
          <w:kern w:val="0"/>
          <w:sz w:val="18"/>
          <w:szCs w:val="18"/>
        </w:rPr>
        <w:t></w:t>
      </w:r>
      <w:r w:rsidRPr="001557BF">
        <w:rPr>
          <w:rFonts w:ascii="Times New Roman" w:eastAsia="宋体" w:hAnsi="Times New Roman" w:cs="Times New Roman"/>
          <w:color w:val="262626"/>
          <w:kern w:val="0"/>
          <w:sz w:val="14"/>
          <w:szCs w:val="14"/>
        </w:rPr>
        <w:t> </w:t>
      </w:r>
      <w:r w:rsidRPr="001557BF">
        <w:rPr>
          <w:rFonts w:ascii="Times New Roman" w:eastAsia="宋体" w:hAnsi="Times New Roman" w:cs="Times New Roman"/>
          <w:color w:val="262626"/>
          <w:kern w:val="0"/>
          <w:sz w:val="14"/>
        </w:rPr>
        <w:t> </w:t>
      </w:r>
      <w:r w:rsidRPr="001557BF">
        <w:rPr>
          <w:rFonts w:ascii="宋体" w:eastAsia="宋体" w:hAnsi="宋体" w:cs="宋体" w:hint="eastAsia"/>
          <w:color w:val="262626"/>
          <w:kern w:val="0"/>
          <w:sz w:val="18"/>
          <w:szCs w:val="18"/>
        </w:rPr>
        <w:t>系统采用步科电气F1系列总线型PLC控制，自动化程度高，软件采用欧洲主流软件-德国3S公司Codesys软件，其CPU主频高达800M,程序执行精度1ms，在130米产线上依旧可以保持系统稳定；</w:t>
      </w:r>
    </w:p>
    <w:p w:rsidR="001557BF" w:rsidRPr="001557BF" w:rsidRDefault="001557BF" w:rsidP="001557BF">
      <w:pPr>
        <w:widowControl/>
        <w:spacing w:line="300" w:lineRule="atLeast"/>
        <w:ind w:left="420" w:hanging="420"/>
        <w:jc w:val="left"/>
        <w:rPr>
          <w:rFonts w:ascii="宋体" w:eastAsia="宋体" w:hAnsi="宋体" w:cs="宋体" w:hint="eastAsia"/>
          <w:color w:val="333333"/>
          <w:kern w:val="0"/>
          <w:sz w:val="18"/>
          <w:szCs w:val="18"/>
        </w:rPr>
      </w:pPr>
      <w:r w:rsidRPr="001557BF">
        <w:rPr>
          <w:rFonts w:ascii="Wingdings" w:eastAsia="宋体" w:hAnsi="Wingdings" w:cs="宋体"/>
          <w:color w:val="262626"/>
          <w:kern w:val="0"/>
          <w:sz w:val="18"/>
          <w:szCs w:val="18"/>
        </w:rPr>
        <w:lastRenderedPageBreak/>
        <w:t></w:t>
      </w:r>
      <w:r w:rsidRPr="001557BF">
        <w:rPr>
          <w:rFonts w:ascii="Times New Roman" w:eastAsia="宋体" w:hAnsi="Times New Roman" w:cs="Times New Roman"/>
          <w:color w:val="262626"/>
          <w:kern w:val="0"/>
          <w:sz w:val="14"/>
          <w:szCs w:val="14"/>
        </w:rPr>
        <w:t> </w:t>
      </w:r>
      <w:r w:rsidRPr="001557BF">
        <w:rPr>
          <w:rFonts w:ascii="Times New Roman" w:eastAsia="宋体" w:hAnsi="Times New Roman" w:cs="Times New Roman"/>
          <w:color w:val="262626"/>
          <w:kern w:val="0"/>
          <w:sz w:val="14"/>
        </w:rPr>
        <w:t> </w:t>
      </w:r>
      <w:r w:rsidRPr="001557BF">
        <w:rPr>
          <w:rFonts w:ascii="宋体" w:eastAsia="宋体" w:hAnsi="宋体" w:cs="宋体" w:hint="eastAsia"/>
          <w:color w:val="262626"/>
          <w:kern w:val="0"/>
          <w:sz w:val="18"/>
          <w:szCs w:val="18"/>
        </w:rPr>
        <w:t>系统自带两路CAN总线接口，变频器单独在一路控制，在克服传统该行业变频用模拟量控制不稳定，精度不高等缺点同时也保证了变频器独立运行，减少对系统的干扰；</w:t>
      </w:r>
    </w:p>
    <w:p w:rsidR="001557BF" w:rsidRPr="001557BF" w:rsidRDefault="001557BF" w:rsidP="001557BF">
      <w:pPr>
        <w:widowControl/>
        <w:spacing w:line="300" w:lineRule="atLeast"/>
        <w:ind w:left="420" w:hanging="420"/>
        <w:jc w:val="left"/>
        <w:rPr>
          <w:rFonts w:ascii="宋体" w:eastAsia="宋体" w:hAnsi="宋体" w:cs="宋体" w:hint="eastAsia"/>
          <w:color w:val="333333"/>
          <w:kern w:val="0"/>
          <w:sz w:val="18"/>
          <w:szCs w:val="18"/>
        </w:rPr>
      </w:pPr>
      <w:r w:rsidRPr="001557BF">
        <w:rPr>
          <w:rFonts w:ascii="Wingdings" w:eastAsia="宋体" w:hAnsi="Wingdings" w:cs="宋体"/>
          <w:color w:val="262626"/>
          <w:kern w:val="0"/>
          <w:sz w:val="18"/>
          <w:szCs w:val="18"/>
        </w:rPr>
        <w:t></w:t>
      </w:r>
      <w:r w:rsidRPr="001557BF">
        <w:rPr>
          <w:rFonts w:ascii="Times New Roman" w:eastAsia="宋体" w:hAnsi="Times New Roman" w:cs="Times New Roman"/>
          <w:color w:val="262626"/>
          <w:kern w:val="0"/>
          <w:sz w:val="14"/>
          <w:szCs w:val="14"/>
        </w:rPr>
        <w:t> </w:t>
      </w:r>
      <w:r w:rsidRPr="001557BF">
        <w:rPr>
          <w:rFonts w:ascii="Times New Roman" w:eastAsia="宋体" w:hAnsi="Times New Roman" w:cs="Times New Roman"/>
          <w:color w:val="262626"/>
          <w:kern w:val="0"/>
          <w:sz w:val="14"/>
        </w:rPr>
        <w:t> </w:t>
      </w:r>
      <w:r w:rsidRPr="001557BF">
        <w:rPr>
          <w:rFonts w:ascii="宋体" w:eastAsia="宋体" w:hAnsi="宋体" w:cs="宋体" w:hint="eastAsia"/>
          <w:color w:val="262626"/>
          <w:kern w:val="0"/>
          <w:sz w:val="18"/>
          <w:szCs w:val="18"/>
        </w:rPr>
        <w:t>系统预留工业以太网接口，支持标准Modbus TCP/UDP等协议，方便接入干部生产线工厂级生产管理，也可用串口接入生产管理。</w:t>
      </w:r>
    </w:p>
    <w:p w:rsidR="001557BF" w:rsidRPr="001557BF" w:rsidRDefault="001557BF" w:rsidP="001557BF">
      <w:pPr>
        <w:widowControl/>
        <w:spacing w:before="260" w:after="260"/>
        <w:jc w:val="left"/>
        <w:outlineLvl w:val="1"/>
        <w:rPr>
          <w:rFonts w:ascii="宋体" w:eastAsia="宋体" w:hAnsi="宋体" w:cs="宋体" w:hint="eastAsia"/>
          <w:b/>
          <w:bCs/>
          <w:color w:val="333333"/>
          <w:kern w:val="0"/>
          <w:sz w:val="36"/>
          <w:szCs w:val="36"/>
        </w:rPr>
      </w:pPr>
      <w:bookmarkStart w:id="4" w:name="_Toc9393"/>
      <w:r w:rsidRPr="001557BF">
        <w:rPr>
          <w:rFonts w:ascii="宋体" w:eastAsia="宋体" w:hAnsi="宋体" w:cs="宋体" w:hint="eastAsia"/>
          <w:b/>
          <w:bCs/>
          <w:color w:val="262626"/>
          <w:kern w:val="0"/>
          <w:szCs w:val="21"/>
        </w:rPr>
        <w:t>六：Kinco</w:t>
      </w:r>
      <w:r w:rsidRPr="001557BF">
        <w:rPr>
          <w:rFonts w:ascii="宋体" w:eastAsia="宋体" w:hAnsi="宋体" w:cs="宋体" w:hint="eastAsia"/>
          <w:b/>
          <w:bCs/>
          <w:color w:val="262626"/>
          <w:kern w:val="0"/>
        </w:rPr>
        <w:t> </w:t>
      </w:r>
      <w:r w:rsidRPr="001557BF">
        <w:rPr>
          <w:rFonts w:ascii="宋体" w:eastAsia="宋体" w:hAnsi="宋体" w:cs="宋体" w:hint="eastAsia"/>
          <w:b/>
          <w:bCs/>
          <w:color w:val="262626"/>
          <w:kern w:val="0"/>
          <w:szCs w:val="21"/>
        </w:rPr>
        <w:t>全套CANopen解决方案配置</w:t>
      </w:r>
      <w:bookmarkEnd w:id="4"/>
      <w:r w:rsidRPr="001557BF">
        <w:rPr>
          <w:rFonts w:ascii="Times New Roman" w:eastAsia="宋体" w:hAnsi="Times New Roman" w:cs="Times New Roman" w:hint="eastAsia"/>
          <w:b/>
          <w:bCs/>
          <w:color w:val="333333"/>
          <w:kern w:val="0"/>
          <w:sz w:val="24"/>
          <w:szCs w:val="24"/>
        </w:rPr>
        <w:t> </w:t>
      </w:r>
    </w:p>
    <w:tbl>
      <w:tblPr>
        <w:tblW w:w="8475" w:type="dxa"/>
        <w:tblInd w:w="93" w:type="dxa"/>
        <w:tblCellMar>
          <w:left w:w="0" w:type="dxa"/>
          <w:right w:w="0" w:type="dxa"/>
        </w:tblCellMar>
        <w:tblLook w:val="04A0"/>
      </w:tblPr>
      <w:tblGrid>
        <w:gridCol w:w="735"/>
        <w:gridCol w:w="1620"/>
        <w:gridCol w:w="3047"/>
        <w:gridCol w:w="850"/>
        <w:gridCol w:w="2223"/>
      </w:tblGrid>
      <w:tr w:rsidR="001557BF" w:rsidRPr="001557BF" w:rsidTr="001557BF">
        <w:trPr>
          <w:trHeight w:val="285"/>
        </w:trPr>
        <w:tc>
          <w:tcPr>
            <w:tcW w:w="7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序号</w:t>
            </w:r>
          </w:p>
        </w:tc>
        <w:tc>
          <w:tcPr>
            <w:tcW w:w="16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名称</w:t>
            </w:r>
          </w:p>
        </w:tc>
        <w:tc>
          <w:tcPr>
            <w:tcW w:w="304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型号</w:t>
            </w:r>
          </w:p>
        </w:tc>
        <w:tc>
          <w:tcPr>
            <w:tcW w:w="85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数量</w:t>
            </w:r>
          </w:p>
        </w:tc>
        <w:tc>
          <w:tcPr>
            <w:tcW w:w="222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备注</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现场设定显示部分</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MT4414T</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7寸高分辨率触摸屏</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2</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控制系统部分</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F122-D1608T</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带CANopen总线</w:t>
            </w:r>
          </w:p>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运动控制器</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3</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挡板伺服驱动器</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FD422-CA</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带CANopen总线</w:t>
            </w:r>
          </w:p>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伺服驱动器</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4</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伺服电机</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85S-0045-05AAK-FLFN</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高磁密度电机</w:t>
            </w:r>
          </w:p>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450W 500RPM</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5</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电机电缆</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MOT-008-05-KC0</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带航空插头</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6</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编码器电缆</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ENCCF-05-FC0</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带航空插头</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7</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龙门伺服驱动器</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JD630-LA</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带CANopen总线</w:t>
            </w:r>
          </w:p>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伺服驱动器</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8</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伺服电机</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SMH150D-0300-20AAK-4HKC</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高磁密度电机</w:t>
            </w:r>
          </w:p>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3000W 2000RPM</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9</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电机电缆</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MOT-008-05-KC2</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带航空插头</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10</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编码器电缆</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ENCCA-05-KC1</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带航空插头</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11</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压线变频器</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FV100-4T-0022G</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4</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变频器2.2KW</w:t>
            </w:r>
          </w:p>
        </w:tc>
      </w:tr>
      <w:tr w:rsidR="001557BF" w:rsidRPr="001557BF" w:rsidTr="001557BF">
        <w:trPr>
          <w:trHeight w:val="285"/>
        </w:trPr>
        <w:tc>
          <w:tcPr>
            <w:tcW w:w="7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12</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变频器CAN卡</w:t>
            </w:r>
          </w:p>
        </w:tc>
        <w:tc>
          <w:tcPr>
            <w:tcW w:w="30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PG-LZA-12</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4</w:t>
            </w:r>
          </w:p>
        </w:tc>
        <w:tc>
          <w:tcPr>
            <w:tcW w:w="22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557BF" w:rsidRPr="001557BF" w:rsidRDefault="001557BF" w:rsidP="001557BF">
            <w:pPr>
              <w:widowControl/>
              <w:spacing w:line="300" w:lineRule="atLeast"/>
              <w:jc w:val="center"/>
              <w:rPr>
                <w:rFonts w:ascii="宋体" w:eastAsia="宋体" w:hAnsi="宋体" w:cs="宋体"/>
                <w:color w:val="333333"/>
                <w:kern w:val="0"/>
                <w:sz w:val="24"/>
                <w:szCs w:val="24"/>
              </w:rPr>
            </w:pPr>
            <w:r w:rsidRPr="001557BF">
              <w:rPr>
                <w:rFonts w:ascii="宋体" w:eastAsia="宋体" w:hAnsi="宋体" w:cs="宋体" w:hint="eastAsia"/>
                <w:color w:val="262626"/>
                <w:kern w:val="0"/>
                <w:sz w:val="18"/>
                <w:szCs w:val="18"/>
              </w:rPr>
              <w:t>变频器总线扩展卡</w:t>
            </w:r>
          </w:p>
        </w:tc>
      </w:tr>
    </w:tbl>
    <w:p w:rsidR="001557BF" w:rsidRPr="001557BF" w:rsidRDefault="001557BF" w:rsidP="001557BF">
      <w:pPr>
        <w:widowControl/>
        <w:spacing w:line="27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24"/>
          <w:szCs w:val="24"/>
        </w:rPr>
        <w:t> </w:t>
      </w:r>
    </w:p>
    <w:p w:rsidR="001557BF" w:rsidRPr="001557BF" w:rsidRDefault="001557BF" w:rsidP="001557BF">
      <w:pPr>
        <w:widowControl/>
        <w:spacing w:line="27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配置说明</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1：表中各轴视客户需求不同，所用产品功率不同</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2：表中各轴视客户需求不同，所用电缆长度不同</w:t>
      </w:r>
    </w:p>
    <w:p w:rsidR="001557BF" w:rsidRPr="001557BF" w:rsidRDefault="001557BF" w:rsidP="001557BF">
      <w:pPr>
        <w:widowControl/>
        <w:spacing w:line="300" w:lineRule="atLeast"/>
        <w:jc w:val="left"/>
        <w:rPr>
          <w:rFonts w:ascii="宋体" w:eastAsia="宋体" w:hAnsi="宋体" w:cs="宋体" w:hint="eastAsia"/>
          <w:color w:val="333333"/>
          <w:kern w:val="0"/>
          <w:sz w:val="18"/>
          <w:szCs w:val="18"/>
        </w:rPr>
      </w:pPr>
      <w:r w:rsidRPr="001557BF">
        <w:rPr>
          <w:rFonts w:ascii="宋体" w:eastAsia="宋体" w:hAnsi="宋体" w:cs="宋体" w:hint="eastAsia"/>
          <w:color w:val="262626"/>
          <w:kern w:val="0"/>
          <w:sz w:val="18"/>
          <w:szCs w:val="18"/>
        </w:rPr>
        <w:t>3：本表配置仅适用于龙门型瓦楞纸码垛机</w:t>
      </w:r>
    </w:p>
    <w:p w:rsidR="004879FA" w:rsidRPr="001557BF" w:rsidRDefault="004879FA"/>
    <w:sectPr w:rsidR="004879FA" w:rsidRPr="001557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9FA" w:rsidRDefault="004879FA" w:rsidP="001557BF">
      <w:r>
        <w:separator/>
      </w:r>
    </w:p>
  </w:endnote>
  <w:endnote w:type="continuationSeparator" w:id="1">
    <w:p w:rsidR="004879FA" w:rsidRDefault="004879FA" w:rsidP="00155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BF" w:rsidRDefault="001557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BF" w:rsidRDefault="001557B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BF" w:rsidRDefault="001557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9FA" w:rsidRDefault="004879FA" w:rsidP="001557BF">
      <w:r>
        <w:separator/>
      </w:r>
    </w:p>
  </w:footnote>
  <w:footnote w:type="continuationSeparator" w:id="1">
    <w:p w:rsidR="004879FA" w:rsidRDefault="004879FA" w:rsidP="00155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BF" w:rsidRDefault="001557B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BF" w:rsidRDefault="001557BF" w:rsidP="001557B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BF" w:rsidRDefault="001557B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7BF"/>
    <w:rsid w:val="001557BF"/>
    <w:rsid w:val="00487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557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7BF"/>
    <w:rPr>
      <w:sz w:val="18"/>
      <w:szCs w:val="18"/>
    </w:rPr>
  </w:style>
  <w:style w:type="paragraph" w:styleId="a4">
    <w:name w:val="footer"/>
    <w:basedOn w:val="a"/>
    <w:link w:val="Char0"/>
    <w:uiPriority w:val="99"/>
    <w:semiHidden/>
    <w:unhideWhenUsed/>
    <w:rsid w:val="001557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57BF"/>
    <w:rPr>
      <w:sz w:val="18"/>
      <w:szCs w:val="18"/>
    </w:rPr>
  </w:style>
  <w:style w:type="character" w:customStyle="1" w:styleId="2Char">
    <w:name w:val="标题 2 Char"/>
    <w:basedOn w:val="a0"/>
    <w:link w:val="2"/>
    <w:uiPriority w:val="9"/>
    <w:rsid w:val="001557BF"/>
    <w:rPr>
      <w:rFonts w:ascii="宋体" w:eastAsia="宋体" w:hAnsi="宋体" w:cs="宋体"/>
      <w:b/>
      <w:bCs/>
      <w:kern w:val="0"/>
      <w:sz w:val="36"/>
      <w:szCs w:val="36"/>
    </w:rPr>
  </w:style>
  <w:style w:type="character" w:customStyle="1" w:styleId="apple-converted-space">
    <w:name w:val="apple-converted-space"/>
    <w:basedOn w:val="a0"/>
    <w:rsid w:val="001557BF"/>
  </w:style>
  <w:style w:type="paragraph" w:styleId="a5">
    <w:name w:val="Balloon Text"/>
    <w:basedOn w:val="a"/>
    <w:link w:val="Char1"/>
    <w:uiPriority w:val="99"/>
    <w:semiHidden/>
    <w:unhideWhenUsed/>
    <w:rsid w:val="001557BF"/>
    <w:rPr>
      <w:sz w:val="18"/>
      <w:szCs w:val="18"/>
    </w:rPr>
  </w:style>
  <w:style w:type="character" w:customStyle="1" w:styleId="Char1">
    <w:name w:val="批注框文本 Char"/>
    <w:basedOn w:val="a0"/>
    <w:link w:val="a5"/>
    <w:uiPriority w:val="99"/>
    <w:semiHidden/>
    <w:rsid w:val="001557BF"/>
    <w:rPr>
      <w:sz w:val="18"/>
      <w:szCs w:val="18"/>
    </w:rPr>
  </w:style>
</w:styles>
</file>

<file path=word/webSettings.xml><?xml version="1.0" encoding="utf-8"?>
<w:webSettings xmlns:r="http://schemas.openxmlformats.org/officeDocument/2006/relationships" xmlns:w="http://schemas.openxmlformats.org/wordprocessingml/2006/main">
  <w:divs>
    <w:div w:id="194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1283</Characters>
  <Application>Microsoft Office Word</Application>
  <DocSecurity>0</DocSecurity>
  <Lines>10</Lines>
  <Paragraphs>3</Paragraphs>
  <ScaleCrop>false</ScaleCrop>
  <Company>China</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2013-12-12T07:30:00Z</dcterms:created>
  <dcterms:modified xsi:type="dcterms:W3CDTF">2013-12-12T07:32:00Z</dcterms:modified>
</cp:coreProperties>
</file>